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rFonts w:hint="eastAsia" w:ascii="黑体" w:hAnsi="黑体" w:eastAsia="黑体" w:cs="黑体"/>
          <w:sz w:val="40"/>
          <w:szCs w:val="40"/>
        </w:rPr>
      </w:pPr>
      <w:r>
        <w:rPr>
          <w:rFonts w:hint="eastAsia" w:ascii="黑体" w:hAnsi="黑体" w:eastAsia="黑体" w:cs="黑体"/>
          <w:sz w:val="40"/>
          <w:szCs w:val="40"/>
        </w:rPr>
        <w:t>驻外使领馆海外远程视频公证办理须知</w:t>
      </w:r>
    </w:p>
    <w:p>
      <w:pPr>
        <w:jc w:val="center"/>
        <w:rPr>
          <w:rFonts w:hint="eastAsia"/>
          <w:sz w:val="40"/>
          <w:szCs w:val="40"/>
        </w:rPr>
      </w:pPr>
    </w:p>
    <w:p>
      <w:pPr>
        <w:rPr>
          <w:rFonts w:hint="eastAsia" w:ascii="仿宋" w:hAnsi="仿宋" w:eastAsia="仿宋" w:cs="仿宋"/>
          <w:sz w:val="32"/>
          <w:szCs w:val="32"/>
        </w:rPr>
      </w:pPr>
      <w:r>
        <w:rPr>
          <w:rFonts w:hint="default" w:ascii="仿宋" w:hAnsi="仿宋" w:eastAsia="仿宋" w:cs="仿宋"/>
          <w:sz w:val="32"/>
          <w:szCs w:val="32"/>
          <w:lang w:val="en-US"/>
        </w:rPr>
        <w:t xml:space="preserve">    </w:t>
      </w:r>
      <w:r>
        <w:rPr>
          <w:rFonts w:hint="eastAsia" w:ascii="仿宋" w:hAnsi="仿宋" w:eastAsia="仿宋" w:cs="仿宋"/>
          <w:sz w:val="32"/>
          <w:szCs w:val="32"/>
        </w:rPr>
        <w:t>为深入贯彻以人民为中心的发展思想，践行外交为民，推进海外中国公民办理公证“网上办、就近办、一次办”。中国驻外使领馆（下称“使领馆”）与国内公证机构合作，推出海外远程视频公证服务</w:t>
      </w:r>
      <w:r>
        <w:rPr>
          <w:rFonts w:hint="eastAsia" w:ascii="仿宋" w:hAnsi="仿宋" w:eastAsia="仿宋" w:cs="仿宋"/>
          <w:sz w:val="32"/>
          <w:szCs w:val="32"/>
          <w:lang w:eastAsia="zh-CN"/>
        </w:rPr>
        <w:t>。</w:t>
      </w:r>
      <w:r>
        <w:rPr>
          <w:rFonts w:hint="eastAsia" w:ascii="仿宋" w:hAnsi="仿宋" w:eastAsia="仿宋" w:cs="仿宋"/>
          <w:sz w:val="32"/>
          <w:szCs w:val="32"/>
        </w:rPr>
        <w:t>用信息化手段为海外中国公民提供高效便捷的公证服务。办理海外远程视频公证前，请您认真阅读本须知的全部内容：</w:t>
      </w:r>
    </w:p>
    <w:p>
      <w:pPr>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b/>
          <w:bCs/>
          <w:sz w:val="32"/>
          <w:szCs w:val="32"/>
        </w:rPr>
        <w:t>一、注意事项</w:t>
      </w:r>
    </w:p>
    <w:p>
      <w:pPr>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（一）当事人申请办理海外远程视频公证，应同时符合以下条件：</w:t>
      </w:r>
    </w:p>
    <w:p>
      <w:pPr>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1.具有中华人民共和国国籍的大陆地区居民；</w:t>
      </w:r>
    </w:p>
    <w:p>
      <w:pPr>
        <w:rPr>
          <w:rFonts w:hint="eastAsia" w:ascii="仿宋" w:hAnsi="仿宋" w:eastAsia="仿宋" w:cs="仿宋"/>
          <w:sz w:val="32"/>
          <w:szCs w:val="32"/>
        </w:rPr>
      </w:pPr>
      <w:r>
        <w:rPr>
          <w:rFonts w:hint="eastAsia" w:ascii="仿宋" w:hAnsi="仿宋" w:eastAsia="仿宋" w:cs="仿宋"/>
          <w:sz w:val="32"/>
          <w:szCs w:val="32"/>
        </w:rPr>
        <w:t xml:space="preserve">    2.在使领馆所在国长期居住（</w:t>
      </w:r>
      <w:r>
        <w:rPr>
          <w:rFonts w:hint="eastAsia" w:ascii="仿宋" w:hAnsi="仿宋" w:eastAsia="仿宋" w:cs="仿宋"/>
          <w:sz w:val="32"/>
          <w:szCs w:val="32"/>
          <w:lang w:eastAsia="zh-CN"/>
        </w:rPr>
        <w:t>在泰</w:t>
      </w:r>
      <w:r>
        <w:rPr>
          <w:rFonts w:hint="eastAsia" w:ascii="仿宋" w:hAnsi="仿宋" w:eastAsia="仿宋" w:cs="仿宋"/>
          <w:sz w:val="32"/>
          <w:szCs w:val="32"/>
        </w:rPr>
        <w:t>连续停留满180天，或</w:t>
      </w:r>
      <w:r>
        <w:rPr>
          <w:rFonts w:hint="eastAsia" w:ascii="仿宋" w:hAnsi="仿宋" w:eastAsia="仿宋" w:cs="仿宋"/>
          <w:sz w:val="32"/>
          <w:szCs w:val="32"/>
          <w:lang w:eastAsia="zh-CN"/>
        </w:rPr>
        <w:t>在泰</w:t>
      </w:r>
      <w:r>
        <w:rPr>
          <w:rFonts w:hint="eastAsia" w:ascii="仿宋" w:hAnsi="仿宋" w:eastAsia="仿宋" w:cs="仿宋"/>
          <w:sz w:val="32"/>
          <w:szCs w:val="32"/>
        </w:rPr>
        <w:t>持有停留期超6个月的学习类、工作类、依亲类、养老类等签证或泰国永居证）；</w:t>
      </w:r>
    </w:p>
    <w:p>
      <w:pPr>
        <w:rPr>
          <w:rFonts w:hint="eastAsia" w:ascii="仿宋" w:hAnsi="仿宋" w:eastAsia="仿宋" w:cs="仿宋"/>
          <w:sz w:val="32"/>
          <w:szCs w:val="32"/>
        </w:rPr>
      </w:pPr>
      <w:r>
        <w:rPr>
          <w:rFonts w:hint="eastAsia" w:ascii="仿宋" w:hAnsi="仿宋" w:eastAsia="仿宋" w:cs="仿宋"/>
          <w:sz w:val="32"/>
          <w:szCs w:val="32"/>
        </w:rPr>
        <w:t xml:space="preserve">    3.公证书拟在国内使用，公证事项系使领馆无法办理的</w:t>
      </w:r>
      <w:r>
        <w:rPr>
          <w:rFonts w:hint="eastAsia" w:ascii="仿宋" w:hAnsi="仿宋" w:eastAsia="仿宋" w:cs="仿宋"/>
          <w:sz w:val="32"/>
          <w:szCs w:val="32"/>
          <w:lang w:eastAsia="zh-CN"/>
        </w:rPr>
        <w:t>，且</w:t>
      </w:r>
      <w:r>
        <w:rPr>
          <w:rFonts w:hint="eastAsia" w:ascii="仿宋" w:hAnsi="仿宋" w:eastAsia="仿宋" w:cs="仿宋"/>
          <w:sz w:val="32"/>
          <w:szCs w:val="32"/>
        </w:rPr>
        <w:t>当事人自愿选择海外远程视频公证；</w:t>
      </w:r>
    </w:p>
    <w:p>
      <w:pPr>
        <w:rPr>
          <w:rFonts w:hint="eastAsia" w:ascii="仿宋" w:hAnsi="仿宋" w:eastAsia="仿宋" w:cs="仿宋"/>
          <w:sz w:val="32"/>
          <w:szCs w:val="32"/>
        </w:rPr>
      </w:pPr>
      <w:r>
        <w:rPr>
          <w:rFonts w:hint="eastAsia" w:ascii="仿宋" w:hAnsi="仿宋" w:eastAsia="仿宋" w:cs="仿宋"/>
          <w:sz w:val="32"/>
          <w:szCs w:val="32"/>
        </w:rPr>
        <w:t xml:space="preserve">    4.不违反相关法律法规及其他禁止性规定。</w:t>
      </w:r>
    </w:p>
    <w:p>
      <w:pPr>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（二）有下列情形之一的。公证机构不予办理海外远程视频公证：</w:t>
      </w:r>
    </w:p>
    <w:p>
      <w:pPr>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1.无民事行为能力人或者限制民事行为能力人没有监护人代理申请办理海外远程视频公证的；</w:t>
      </w:r>
    </w:p>
    <w:p>
      <w:pPr>
        <w:rPr>
          <w:rFonts w:hint="eastAsia" w:ascii="仿宋" w:hAnsi="仿宋" w:eastAsia="仿宋" w:cs="仿宋"/>
          <w:sz w:val="32"/>
          <w:szCs w:val="32"/>
        </w:rPr>
      </w:pPr>
      <w:r>
        <w:rPr>
          <w:rFonts w:hint="eastAsia" w:ascii="仿宋" w:hAnsi="仿宋" w:eastAsia="仿宋" w:cs="仿宋"/>
          <w:sz w:val="32"/>
          <w:szCs w:val="32"/>
        </w:rPr>
        <w:t xml:space="preserve">     2.当事人与申请公证的事项没有利害关系的；</w:t>
      </w:r>
    </w:p>
    <w:p>
      <w:pPr>
        <w:rPr>
          <w:rFonts w:hint="eastAsia" w:ascii="仿宋" w:hAnsi="仿宋" w:eastAsia="仿宋" w:cs="仿宋"/>
          <w:sz w:val="32"/>
          <w:szCs w:val="32"/>
        </w:rPr>
      </w:pPr>
      <w:r>
        <w:rPr>
          <w:rFonts w:hint="eastAsia" w:ascii="仿宋" w:hAnsi="仿宋" w:eastAsia="仿宋" w:cs="仿宋"/>
          <w:sz w:val="32"/>
          <w:szCs w:val="32"/>
        </w:rPr>
        <w:t xml:space="preserve">     3.当事人之间对申请海外远程视频公证的事项有争议的；</w:t>
      </w:r>
    </w:p>
    <w:p>
      <w:pPr>
        <w:rPr>
          <w:rFonts w:hint="eastAsia" w:ascii="仿宋" w:hAnsi="仿宋" w:eastAsia="仿宋" w:cs="仿宋"/>
          <w:sz w:val="32"/>
          <w:szCs w:val="32"/>
        </w:rPr>
      </w:pPr>
      <w:r>
        <w:rPr>
          <w:rFonts w:hint="eastAsia" w:ascii="仿宋" w:hAnsi="仿宋" w:eastAsia="仿宋" w:cs="仿宋"/>
          <w:sz w:val="32"/>
          <w:szCs w:val="32"/>
        </w:rPr>
        <w:t xml:space="preserve">     4.当事人虚构、隐瞒事实，或者提供虚假证明材料的；</w:t>
      </w:r>
    </w:p>
    <w:p>
      <w:pPr>
        <w:rPr>
          <w:rFonts w:hint="eastAsia" w:ascii="仿宋" w:hAnsi="仿宋" w:eastAsia="仿宋" w:cs="仿宋"/>
          <w:sz w:val="32"/>
          <w:szCs w:val="32"/>
        </w:rPr>
      </w:pPr>
      <w:r>
        <w:rPr>
          <w:rFonts w:hint="eastAsia" w:ascii="仿宋" w:hAnsi="仿宋" w:eastAsia="仿宋" w:cs="仿宋"/>
          <w:sz w:val="32"/>
          <w:szCs w:val="32"/>
        </w:rPr>
        <w:t xml:space="preserve">     5.当事人提供的证明材料不充分又无法补充，或者拒绝补充证明材料的；</w:t>
      </w:r>
    </w:p>
    <w:p>
      <w:pPr>
        <w:rPr>
          <w:rFonts w:hint="eastAsia" w:ascii="仿宋" w:hAnsi="仿宋" w:eastAsia="仿宋" w:cs="仿宋"/>
          <w:sz w:val="32"/>
          <w:szCs w:val="32"/>
        </w:rPr>
      </w:pPr>
      <w:r>
        <w:rPr>
          <w:rFonts w:hint="eastAsia" w:ascii="仿宋" w:hAnsi="仿宋" w:eastAsia="仿宋" w:cs="仿宋"/>
          <w:sz w:val="32"/>
          <w:szCs w:val="32"/>
        </w:rPr>
        <w:t xml:space="preserve">     6.申请海外远程视频公证的事项不真实、不合法的；</w:t>
      </w:r>
    </w:p>
    <w:p>
      <w:pPr>
        <w:rPr>
          <w:rFonts w:hint="eastAsia" w:ascii="仿宋" w:hAnsi="仿宋" w:eastAsia="仿宋" w:cs="仿宋"/>
          <w:sz w:val="32"/>
          <w:szCs w:val="32"/>
        </w:rPr>
      </w:pPr>
      <w:r>
        <w:rPr>
          <w:rFonts w:hint="eastAsia" w:ascii="仿宋" w:hAnsi="仿宋" w:eastAsia="仿宋" w:cs="仿宋"/>
          <w:sz w:val="32"/>
          <w:szCs w:val="32"/>
        </w:rPr>
        <w:t xml:space="preserve">     7.申请海外远程视频公证的事项违背社会公德的；</w:t>
      </w:r>
    </w:p>
    <w:p>
      <w:pPr>
        <w:rPr>
          <w:rFonts w:hint="eastAsia" w:ascii="仿宋" w:hAnsi="仿宋" w:eastAsia="仿宋" w:cs="仿宋"/>
          <w:sz w:val="32"/>
          <w:szCs w:val="32"/>
        </w:rPr>
      </w:pPr>
      <w:r>
        <w:rPr>
          <w:rFonts w:hint="eastAsia" w:ascii="仿宋" w:hAnsi="仿宋" w:eastAsia="仿宋" w:cs="仿宋"/>
          <w:sz w:val="32"/>
          <w:szCs w:val="32"/>
        </w:rPr>
        <w:t xml:space="preserve">     8.当事人拒绝按规定交纳公证费的；</w:t>
      </w:r>
    </w:p>
    <w:p>
      <w:pPr>
        <w:rPr>
          <w:rFonts w:hint="eastAsia" w:ascii="仿宋" w:hAnsi="仿宋" w:eastAsia="仿宋" w:cs="仿宋"/>
          <w:sz w:val="32"/>
          <w:szCs w:val="32"/>
        </w:rPr>
      </w:pPr>
      <w:r>
        <w:rPr>
          <w:rFonts w:hint="eastAsia" w:ascii="仿宋" w:hAnsi="仿宋" w:eastAsia="仿宋" w:cs="仿宋"/>
          <w:sz w:val="32"/>
          <w:szCs w:val="32"/>
        </w:rPr>
        <w:t xml:space="preserve">     9.其他不适合办理海外远程视频公证的情形。</w:t>
      </w:r>
    </w:p>
    <w:p>
      <w:pPr>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b/>
          <w:bCs/>
          <w:sz w:val="32"/>
          <w:szCs w:val="32"/>
        </w:rPr>
        <w:t>二、相关规定</w:t>
      </w:r>
    </w:p>
    <w:p>
      <w:pPr>
        <w:rPr>
          <w:rFonts w:hint="eastAsia" w:ascii="仿宋" w:hAnsi="仿宋" w:eastAsia="仿宋" w:cs="仿宋"/>
          <w:sz w:val="32"/>
          <w:szCs w:val="32"/>
        </w:rPr>
      </w:pPr>
      <w:r>
        <w:rPr>
          <w:rFonts w:hint="eastAsia" w:ascii="仿宋" w:hAnsi="仿宋" w:eastAsia="仿宋" w:cs="仿宋"/>
          <w:sz w:val="32"/>
          <w:szCs w:val="32"/>
        </w:rPr>
        <w:t xml:space="preserve">   （一）您向公证机构申办公证，应如实告知、填写所申办公证事项的有关情况</w:t>
      </w:r>
      <w:r>
        <w:rPr>
          <w:rFonts w:hint="eastAsia" w:ascii="仿宋" w:hAnsi="仿宋" w:eastAsia="仿宋" w:cs="仿宋"/>
          <w:sz w:val="32"/>
          <w:szCs w:val="32"/>
          <w:lang w:eastAsia="zh-CN"/>
        </w:rPr>
        <w:t>，</w:t>
      </w:r>
      <w:r>
        <w:rPr>
          <w:rFonts w:hint="eastAsia" w:ascii="仿宋" w:hAnsi="仿宋" w:eastAsia="仿宋" w:cs="仿宋"/>
          <w:sz w:val="32"/>
          <w:szCs w:val="32"/>
        </w:rPr>
        <w:t>所上传的证明材料必须真实、合法、充分。</w:t>
      </w:r>
    </w:p>
    <w:p>
      <w:pPr>
        <w:rPr>
          <w:rFonts w:hint="eastAsia" w:ascii="仿宋" w:hAnsi="仿宋" w:eastAsia="仿宋" w:cs="仿宋"/>
          <w:sz w:val="32"/>
          <w:szCs w:val="32"/>
        </w:rPr>
      </w:pPr>
      <w:r>
        <w:rPr>
          <w:rFonts w:hint="eastAsia" w:ascii="仿宋" w:hAnsi="仿宋" w:eastAsia="仿宋" w:cs="仿宋"/>
          <w:sz w:val="32"/>
          <w:szCs w:val="32"/>
        </w:rPr>
        <w:t xml:space="preserve">   （二）对您所填写的与公证事项有关的信息，以及所上传的证明材料，公证机构将及时通过政务信息资源共享的形式依法进行核实。如果因您不如实填写申请公证事项的信息、上传的证明材料不真实、不合法，或因条件所限无法核实到有关信息的，公证机构将不予办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请您按照公证收费标准的规定交纳公证费及其他可能产生的费用：公证书翻译费、申请公证的文书翻译费、副本费等。使领馆不就海外远程视频公证收取任何费用，在签证中心办理的，需向签证中心支付服务费（该服务费不在公证收费标准范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（四）在您操作完成申请流程后，请务必保持手机畅通，以便我们能及时与您取得联系。</w:t>
      </w:r>
    </w:p>
    <w:p>
      <w:pPr>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如果您选择继续采用海外远程视频公证方式申办公证</w:t>
      </w:r>
      <w:r>
        <w:rPr>
          <w:rFonts w:hint="eastAsia" w:ascii="仿宋" w:hAnsi="仿宋" w:eastAsia="仿宋" w:cs="仿宋"/>
          <w:sz w:val="32"/>
          <w:szCs w:val="32"/>
          <w:lang w:eastAsia="zh-CN"/>
        </w:rPr>
        <w:t>，</w:t>
      </w:r>
      <w:r>
        <w:rPr>
          <w:rFonts w:hint="eastAsia" w:ascii="仿宋" w:hAnsi="仿宋" w:eastAsia="仿宋" w:cs="仿宋"/>
          <w:sz w:val="32"/>
          <w:szCs w:val="32"/>
        </w:rPr>
        <w:t>即视为您自愿申办海外远程视频公证，已阅读、理解、知晓认可本须知中每一项内容，并愿意接受相应规则的约束，自行承担由此引发的一切法律责任和后果，免除使领馆的一切责任。</w:t>
      </w:r>
    </w:p>
    <w:p>
      <w:pPr>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bookmarkStart w:id="0" w:name="_GoBack"/>
      <w:bookmarkEnd w:id="0"/>
      <w:r>
        <w:rPr>
          <w:rFonts w:hint="eastAsia" w:ascii="仿宋" w:hAnsi="仿宋" w:eastAsia="仿宋" w:cs="仿宋"/>
          <w:sz w:val="32"/>
          <w:szCs w:val="32"/>
        </w:rPr>
        <w:t>衷心感谢您的理解与支持！</w:t>
      </w:r>
    </w:p>
    <w:p>
      <w:pPr>
        <w:ind w:left="-1027" w:hanging="3080"/>
        <w:rPr>
          <w:rFonts w:hint="eastAsia" w:ascii="仿宋" w:hAnsi="仿宋" w:eastAsia="仿宋" w:cs="仿宋"/>
          <w:sz w:val="32"/>
          <w:szCs w:val="32"/>
        </w:rPr>
      </w:pPr>
    </w:p>
    <w:sectPr>
      <w:headerReference r:id="rId6" w:type="first"/>
      <w:footerReference r:id="rId9" w:type="first"/>
      <w:headerReference r:id="rId4" w:type="default"/>
      <w:footerReference r:id="rId7" w:type="default"/>
      <w:headerReference r:id="rId5" w:type="even"/>
      <w:footerReference r:id="rId8" w:type="even"/>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spaceForUL/>
    <w:doNotLeaveBackslashAlone/>
    <w:ulTrailSpace/>
    <w:doNotExpandShiftReturn/>
    <w:doNotBreakWrappedTables/>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9A29A2"/>
    <w:rsid w:val="001C7F40"/>
    <w:rsid w:val="0039650E"/>
    <w:rsid w:val="008B5326"/>
    <w:rsid w:val="009A05DE"/>
    <w:rsid w:val="009A29A2"/>
    <w:rsid w:val="009A792B"/>
    <w:rsid w:val="0BD66086"/>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ind w:left="0" w:leftChars="0" w:right="0" w:firstLine="0" w:firstLineChars="0"/>
      <w:jc w:val="left"/>
    </w:pPr>
    <w:rPr>
      <w:rFonts w:ascii="Calibri" w:hAnsi="Calibri"/>
      <w:kern w:val="2"/>
      <w:sz w:val="22"/>
      <w:szCs w:val="28"/>
      <w:lang w:val="en-US" w:eastAsia="zh-CN"/>
    </w:rPr>
  </w:style>
  <w:style w:type="paragraph" w:styleId="2">
    <w:name w:val="heading 1"/>
    <w:basedOn w:val="1"/>
    <w:next w:val="1"/>
    <w:link w:val="20"/>
    <w:qFormat/>
    <w:uiPriority w:val="9"/>
    <w:pPr>
      <w:keepNext/>
      <w:keepLines/>
      <w:spacing w:before="360" w:after="80"/>
      <w:outlineLvl w:val="0"/>
    </w:pPr>
    <w:rPr>
      <w:rFonts w:ascii="Calibri Light" w:hAnsi="Calibri Light"/>
      <w:color w:val="2E5394"/>
      <w:sz w:val="40"/>
      <w:szCs w:val="50"/>
    </w:rPr>
  </w:style>
  <w:style w:type="paragraph" w:styleId="3">
    <w:name w:val="heading 2"/>
    <w:basedOn w:val="1"/>
    <w:next w:val="1"/>
    <w:link w:val="21"/>
    <w:unhideWhenUsed/>
    <w:qFormat/>
    <w:uiPriority w:val="9"/>
    <w:pPr>
      <w:keepNext/>
      <w:keepLines/>
      <w:spacing w:before="160" w:after="80"/>
      <w:outlineLvl w:val="1"/>
    </w:pPr>
    <w:rPr>
      <w:rFonts w:ascii="Calibri Light" w:hAnsi="Calibri Light"/>
      <w:color w:val="2E5394"/>
      <w:sz w:val="32"/>
      <w:szCs w:val="40"/>
    </w:rPr>
  </w:style>
  <w:style w:type="paragraph" w:styleId="4">
    <w:name w:val="heading 3"/>
    <w:basedOn w:val="1"/>
    <w:next w:val="1"/>
    <w:link w:val="22"/>
    <w:unhideWhenUsed/>
    <w:qFormat/>
    <w:uiPriority w:val="9"/>
    <w:pPr>
      <w:keepNext/>
      <w:keepLines/>
      <w:spacing w:before="160" w:after="80"/>
      <w:outlineLvl w:val="2"/>
    </w:pPr>
    <w:rPr>
      <w:color w:val="2E5394"/>
      <w:sz w:val="28"/>
      <w:szCs w:val="35"/>
    </w:rPr>
  </w:style>
  <w:style w:type="paragraph" w:styleId="5">
    <w:name w:val="heading 4"/>
    <w:basedOn w:val="1"/>
    <w:next w:val="1"/>
    <w:link w:val="23"/>
    <w:unhideWhenUsed/>
    <w:qFormat/>
    <w:uiPriority w:val="9"/>
    <w:pPr>
      <w:keepNext/>
      <w:keepLines/>
      <w:spacing w:before="80" w:after="40"/>
      <w:outlineLvl w:val="3"/>
    </w:pPr>
    <w:rPr>
      <w:i/>
      <w:iCs/>
      <w:color w:val="2E5394"/>
    </w:rPr>
  </w:style>
  <w:style w:type="paragraph" w:styleId="6">
    <w:name w:val="heading 5"/>
    <w:basedOn w:val="1"/>
    <w:next w:val="1"/>
    <w:link w:val="24"/>
    <w:unhideWhenUsed/>
    <w:qFormat/>
    <w:uiPriority w:val="9"/>
    <w:pPr>
      <w:keepNext/>
      <w:keepLines/>
      <w:spacing w:before="80" w:after="40"/>
      <w:outlineLvl w:val="4"/>
    </w:pPr>
    <w:rPr>
      <w:color w:val="2E5394"/>
    </w:rPr>
  </w:style>
  <w:style w:type="paragraph" w:styleId="7">
    <w:name w:val="heading 6"/>
    <w:basedOn w:val="1"/>
    <w:next w:val="1"/>
    <w:link w:val="25"/>
    <w:unhideWhenUsed/>
    <w:qFormat/>
    <w:uiPriority w:val="9"/>
    <w:pPr>
      <w:keepNext/>
      <w:keepLines/>
      <w:spacing w:before="40" w:after="0"/>
      <w:outlineLvl w:val="5"/>
    </w:pPr>
    <w:rPr>
      <w:i/>
      <w:iCs/>
      <w:color w:val="565656"/>
    </w:rPr>
  </w:style>
  <w:style w:type="paragraph" w:styleId="8">
    <w:name w:val="heading 7"/>
    <w:basedOn w:val="1"/>
    <w:next w:val="1"/>
    <w:link w:val="26"/>
    <w:unhideWhenUsed/>
    <w:qFormat/>
    <w:uiPriority w:val="9"/>
    <w:pPr>
      <w:keepNext/>
      <w:keepLines/>
      <w:spacing w:before="40" w:after="0"/>
      <w:outlineLvl w:val="6"/>
    </w:pPr>
    <w:rPr>
      <w:color w:val="565656"/>
    </w:rPr>
  </w:style>
  <w:style w:type="paragraph" w:styleId="9">
    <w:name w:val="heading 8"/>
    <w:basedOn w:val="1"/>
    <w:next w:val="1"/>
    <w:link w:val="27"/>
    <w:unhideWhenUsed/>
    <w:qFormat/>
    <w:uiPriority w:val="9"/>
    <w:pPr>
      <w:keepNext/>
      <w:keepLines/>
      <w:spacing w:after="0"/>
      <w:outlineLvl w:val="7"/>
    </w:pPr>
    <w:rPr>
      <w:i/>
      <w:iCs/>
      <w:color w:val="262626"/>
    </w:rPr>
  </w:style>
  <w:style w:type="paragraph" w:styleId="10">
    <w:name w:val="heading 9"/>
    <w:basedOn w:val="1"/>
    <w:next w:val="1"/>
    <w:link w:val="28"/>
    <w:unhideWhenUsed/>
    <w:qFormat/>
    <w:uiPriority w:val="9"/>
    <w:pPr>
      <w:keepNext/>
      <w:keepLines/>
      <w:spacing w:after="0"/>
      <w:outlineLvl w:val="8"/>
    </w:pPr>
    <w:rPr>
      <w:color w:val="262626"/>
    </w:rPr>
  </w:style>
  <w:style w:type="character" w:default="1" w:styleId="15">
    <w:name w:val="Default Paragraph Font"/>
    <w:unhideWhenUsed/>
    <w:uiPriority w:val="1"/>
  </w:style>
  <w:style w:type="table" w:default="1" w:styleId="16">
    <w:name w:val="Normal Table"/>
    <w:unhideWhenUsed/>
    <w:uiPriority w:val="99"/>
    <w:tblPr>
      <w:tblStyle w:val="16"/>
      <w:tblLayout w:type="fixed"/>
      <w:tblCellMar>
        <w:top w:w="0" w:type="dxa"/>
        <w:left w:w="108" w:type="dxa"/>
        <w:bottom w:w="0" w:type="dxa"/>
        <w:right w:w="108" w:type="dxa"/>
      </w:tblCellMar>
    </w:tblPr>
    <w:tcPr>
      <w:textDirection w:val="lrTb"/>
    </w:tcPr>
  </w:style>
  <w:style w:type="paragraph" w:styleId="11">
    <w:name w:val="footer"/>
    <w:basedOn w:val="1"/>
    <w:link w:val="36"/>
    <w:unhideWhenUsed/>
    <w:uiPriority w:val="99"/>
    <w:pPr>
      <w:tabs>
        <w:tab w:val="center" w:pos="4680"/>
        <w:tab w:val="right" w:pos="9360"/>
      </w:tabs>
      <w:spacing w:after="0"/>
    </w:pPr>
  </w:style>
  <w:style w:type="paragraph" w:styleId="12">
    <w:name w:val="header"/>
    <w:basedOn w:val="1"/>
    <w:link w:val="35"/>
    <w:unhideWhenUsed/>
    <w:uiPriority w:val="99"/>
    <w:pPr>
      <w:tabs>
        <w:tab w:val="center" w:pos="4680"/>
        <w:tab w:val="right" w:pos="9360"/>
      </w:tabs>
      <w:spacing w:after="0"/>
    </w:pPr>
  </w:style>
  <w:style w:type="paragraph" w:styleId="13">
    <w:name w:val="Subtitle"/>
    <w:basedOn w:val="1"/>
    <w:next w:val="1"/>
    <w:link w:val="30"/>
    <w:qFormat/>
    <w:uiPriority w:val="11"/>
    <w:pPr>
      <w:numPr>
        <w:numId w:val="0"/>
      </w:numPr>
    </w:pPr>
    <w:rPr>
      <w:color w:val="565656"/>
      <w:spacing w:val="15"/>
      <w:sz w:val="28"/>
      <w:szCs w:val="35"/>
    </w:rPr>
  </w:style>
  <w:style w:type="paragraph" w:styleId="14">
    <w:name w:val="Title"/>
    <w:basedOn w:val="1"/>
    <w:next w:val="1"/>
    <w:link w:val="29"/>
    <w:qFormat/>
    <w:uiPriority w:val="10"/>
    <w:pPr>
      <w:spacing w:after="80"/>
      <w:contextualSpacing/>
    </w:pPr>
    <w:rPr>
      <w:rFonts w:ascii="Calibri Light" w:hAnsi="Calibri Light"/>
      <w:spacing w:val="-10"/>
      <w:kern w:val="28"/>
      <w:sz w:val="56"/>
      <w:szCs w:val="71"/>
    </w:rPr>
  </w:style>
  <w:style w:type="paragraph" w:customStyle="1" w:styleId="17">
    <w:name w:val="Quote"/>
    <w:basedOn w:val="1"/>
    <w:next w:val="1"/>
    <w:link w:val="31"/>
    <w:qFormat/>
    <w:uiPriority w:val="29"/>
    <w:pPr>
      <w:spacing w:before="160"/>
      <w:jc w:val="center"/>
    </w:pPr>
    <w:rPr>
      <w:i/>
      <w:iCs/>
      <w:color w:val="3F3F3F"/>
    </w:rPr>
  </w:style>
  <w:style w:type="paragraph" w:customStyle="1" w:styleId="18">
    <w:name w:val="List Paragraph"/>
    <w:basedOn w:val="1"/>
    <w:qFormat/>
    <w:uiPriority w:val="34"/>
    <w:pPr>
      <w:ind w:left="720"/>
      <w:contextualSpacing/>
    </w:pPr>
  </w:style>
  <w:style w:type="paragraph" w:customStyle="1" w:styleId="19">
    <w:name w:val="Intense Quote"/>
    <w:basedOn w:val="1"/>
    <w:next w:val="1"/>
    <w:link w:val="33"/>
    <w:qFormat/>
    <w:uiPriority w:val="30"/>
    <w:pPr>
      <w:pBdr>
        <w:top w:val="single" w:color="2F5496" w:sz="4" w:space="10"/>
        <w:bottom w:val="single" w:color="2F5496" w:sz="4" w:space="10"/>
      </w:pBdr>
      <w:spacing w:before="360" w:after="360"/>
      <w:ind w:left="864" w:right="864"/>
      <w:jc w:val="center"/>
    </w:pPr>
    <w:rPr>
      <w:i/>
      <w:iCs/>
      <w:color w:val="2E5394"/>
    </w:rPr>
  </w:style>
  <w:style w:type="character" w:customStyle="1" w:styleId="20">
    <w:name w:val="หัวเรื่อง 1 อักขระ"/>
    <w:basedOn w:val="15"/>
    <w:link w:val="2"/>
    <w:uiPriority w:val="9"/>
    <w:rPr>
      <w:rFonts w:ascii="Calibri Light" w:hAnsi="Calibri Light"/>
      <w:color w:val="2E5394"/>
      <w:sz w:val="40"/>
      <w:szCs w:val="50"/>
    </w:rPr>
  </w:style>
  <w:style w:type="character" w:customStyle="1" w:styleId="21">
    <w:name w:val="หัวเรื่อง 2 อักขระ"/>
    <w:basedOn w:val="15"/>
    <w:link w:val="3"/>
    <w:semiHidden/>
    <w:uiPriority w:val="9"/>
    <w:rPr>
      <w:rFonts w:ascii="Calibri Light" w:hAnsi="Calibri Light"/>
      <w:color w:val="2E5394"/>
      <w:sz w:val="32"/>
      <w:szCs w:val="40"/>
    </w:rPr>
  </w:style>
  <w:style w:type="character" w:customStyle="1" w:styleId="22">
    <w:name w:val="หัวเรื่อง 3 อักขระ"/>
    <w:basedOn w:val="15"/>
    <w:link w:val="4"/>
    <w:semiHidden/>
    <w:uiPriority w:val="9"/>
    <w:rPr>
      <w:color w:val="2E5394"/>
      <w:sz w:val="28"/>
      <w:szCs w:val="35"/>
    </w:rPr>
  </w:style>
  <w:style w:type="character" w:customStyle="1" w:styleId="23">
    <w:name w:val="หัวเรื่อง 4 อักขระ"/>
    <w:basedOn w:val="15"/>
    <w:link w:val="5"/>
    <w:semiHidden/>
    <w:uiPriority w:val="9"/>
    <w:rPr>
      <w:i/>
      <w:iCs/>
      <w:color w:val="2E5394"/>
    </w:rPr>
  </w:style>
  <w:style w:type="character" w:customStyle="1" w:styleId="24">
    <w:name w:val="หัวเรื่อง 5 อักขระ"/>
    <w:basedOn w:val="15"/>
    <w:link w:val="6"/>
    <w:semiHidden/>
    <w:uiPriority w:val="9"/>
    <w:rPr>
      <w:color w:val="2E5394"/>
    </w:rPr>
  </w:style>
  <w:style w:type="character" w:customStyle="1" w:styleId="25">
    <w:name w:val="หัวเรื่อง 6 อักขระ"/>
    <w:basedOn w:val="15"/>
    <w:link w:val="7"/>
    <w:semiHidden/>
    <w:uiPriority w:val="9"/>
    <w:rPr>
      <w:i/>
      <w:iCs/>
      <w:color w:val="565656"/>
    </w:rPr>
  </w:style>
  <w:style w:type="character" w:customStyle="1" w:styleId="26">
    <w:name w:val="หัวเรื่อง 7 อักขระ"/>
    <w:basedOn w:val="15"/>
    <w:link w:val="8"/>
    <w:semiHidden/>
    <w:uiPriority w:val="9"/>
    <w:rPr>
      <w:color w:val="565656"/>
    </w:rPr>
  </w:style>
  <w:style w:type="character" w:customStyle="1" w:styleId="27">
    <w:name w:val="หัวเรื่อง 8 อักขระ"/>
    <w:basedOn w:val="15"/>
    <w:link w:val="9"/>
    <w:semiHidden/>
    <w:uiPriority w:val="9"/>
    <w:rPr>
      <w:i/>
      <w:iCs/>
      <w:color w:val="262626"/>
    </w:rPr>
  </w:style>
  <w:style w:type="character" w:customStyle="1" w:styleId="28">
    <w:name w:val="หัวเรื่อง 9 อักขระ"/>
    <w:basedOn w:val="15"/>
    <w:link w:val="10"/>
    <w:semiHidden/>
    <w:uiPriority w:val="9"/>
    <w:rPr>
      <w:color w:val="262626"/>
    </w:rPr>
  </w:style>
  <w:style w:type="character" w:customStyle="1" w:styleId="29">
    <w:name w:val="ชื่อเรื่อง อักขระ"/>
    <w:basedOn w:val="15"/>
    <w:link w:val="14"/>
    <w:uiPriority w:val="10"/>
    <w:rPr>
      <w:rFonts w:ascii="Calibri Light" w:hAnsi="Calibri Light"/>
      <w:spacing w:val="-10"/>
      <w:kern w:val="28"/>
      <w:sz w:val="56"/>
      <w:szCs w:val="71"/>
    </w:rPr>
  </w:style>
  <w:style w:type="character" w:customStyle="1" w:styleId="30">
    <w:name w:val="ชื่อเรื่องรอง อักขระ"/>
    <w:basedOn w:val="15"/>
    <w:link w:val="13"/>
    <w:uiPriority w:val="11"/>
    <w:rPr>
      <w:color w:val="565656"/>
      <w:spacing w:val="15"/>
      <w:sz w:val="28"/>
      <w:szCs w:val="35"/>
    </w:rPr>
  </w:style>
  <w:style w:type="character" w:customStyle="1" w:styleId="31">
    <w:name w:val="คำอ้างอิง อักขระ"/>
    <w:basedOn w:val="15"/>
    <w:link w:val="17"/>
    <w:uiPriority w:val="29"/>
    <w:rPr>
      <w:i/>
      <w:iCs/>
      <w:color w:val="3F3F3F"/>
    </w:rPr>
  </w:style>
  <w:style w:type="character" w:customStyle="1" w:styleId="32">
    <w:name w:val="Intense Emphasis"/>
    <w:basedOn w:val="15"/>
    <w:qFormat/>
    <w:uiPriority w:val="21"/>
    <w:rPr>
      <w:i/>
      <w:iCs/>
      <w:color w:val="2E5394"/>
    </w:rPr>
  </w:style>
  <w:style w:type="character" w:customStyle="1" w:styleId="33">
    <w:name w:val="ทำให้คำอ้างอิงเป็นสีเข้มขึ้น อักขระ"/>
    <w:basedOn w:val="15"/>
    <w:link w:val="19"/>
    <w:uiPriority w:val="30"/>
    <w:rPr>
      <w:i/>
      <w:iCs/>
      <w:color w:val="2E5394"/>
    </w:rPr>
  </w:style>
  <w:style w:type="character" w:customStyle="1" w:styleId="34">
    <w:name w:val="Intense Reference"/>
    <w:basedOn w:val="15"/>
    <w:qFormat/>
    <w:uiPriority w:val="32"/>
    <w:rPr>
      <w:b/>
      <w:bCs/>
      <w:smallCaps/>
      <w:color w:val="2E5394"/>
      <w:spacing w:val="5"/>
    </w:rPr>
  </w:style>
  <w:style w:type="character" w:customStyle="1" w:styleId="35">
    <w:name w:val="หัวกระดาษ อักขระ"/>
    <w:basedOn w:val="15"/>
    <w:link w:val="12"/>
    <w:uiPriority w:val="99"/>
    <w:rPr/>
  </w:style>
  <w:style w:type="character" w:customStyle="1" w:styleId="36">
    <w:name w:val="ท้ายกระดาษ อักขระ"/>
    <w:basedOn w:val="15"/>
    <w:link w:val="11"/>
    <w:uiPriority w:val="99"/>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174</Words>
  <Characters>996</Characters>
  <Lines>8</Lines>
  <Paragraphs>2</Paragraphs>
  <ScaleCrop>false</ScaleCrop>
  <LinksUpToDate>false</LinksUpToDate>
  <CharactersWithSpaces>0</CharactersWithSpaces>
  <Application>WPS Office 专业版_9.1.0.4940_F1E327BC-269C-435d-A152-05C5408002CA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2025-08-08T04:23:00Z</dcterms:created>
  <dc:creator>Consulate ChiangMai001</dc:creator>
  <cp:lastModifiedBy>ShiYongRen</cp:lastModifiedBy>
  <cp:lastPrinted>2025-08-08T04:23:00Z</cp:lastPrinted>
  <dcterms:modified xsi:type="dcterms:W3CDTF">2025-08-11T11:13:09Z</dcterms:modified>
  <dc:title>驻外使领馆海外远程视频公证办理须知</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ies>
</file>